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right="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0"/>
          <w:szCs w:val="3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3614" w:firstLineChars="1200"/>
        <w:rPr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333333"/>
          <w:spacing w:val="0"/>
          <w:sz w:val="30"/>
          <w:szCs w:val="30"/>
        </w:rPr>
        <w:t>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编号：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按照我市“公共户”管理要求，申请人及户内人员应知悉以下内容：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1.公安机关为“公共户”户内人员打印《常住人口登记卡》，此卡有效期1年。“公共户”户内人员本人应在到期前14个工作日内前往户籍所在地派出所申请换发新的《常住人口登记卡》。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2.“公共户”户内人员需要使用“公共户”首页的，应向其户籍所在地派出所申请，派出所出具加盖“公共户”专用章的首页复印件；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3.“公共户”户内人员本人或其配偶、未成年子女具备市内迁移落户条件，应主动将户口迁出“公共户”。若经公安机关告知后30日内拒不迁出的，公安机关将自行予以迁移。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4.申请人应确保提供的证件材料真实准确，对于申请材料弄虚作假的，公安机关将取消其申请迁移事项；构成违法犯罪的，依法追究行政刑事责任。申请人的失信信息纳入本市公共信用信息服务平台。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3614" w:firstLineChars="1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30"/>
          <w:szCs w:val="30"/>
        </w:rPr>
        <w:t>告知书回执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编号：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我已详细阅读并同意告知书内容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400" w:firstLineChars="18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签字：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5400" w:firstLineChars="1800"/>
        <w:textAlignment w:val="auto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</w:rPr>
        <w:t>年月日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F7DE2"/>
    <w:rsid w:val="350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2021-06-09T07:44:00Z</dcterms:created>
  <dc:creator>dugq</dc:creator>
  <cp:lastModifiedBy>dugq</cp:lastModifiedBy>
  <dcterms:modified xsi:type="dcterms:W3CDTF">2021-06-09T07:45:37Z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